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  <w:lang w:eastAsia="zh-CN"/>
        </w:rPr>
        <w:t>关于</w:t>
      </w:r>
      <w:r>
        <w:rPr>
          <w:rFonts w:hint="eastAsia" w:ascii="黑体" w:hAnsi="宋体" w:eastAsia="黑体"/>
          <w:bCs/>
          <w:sz w:val="44"/>
          <w:szCs w:val="44"/>
        </w:rPr>
        <w:t>拟接收预备党员公示</w:t>
      </w:r>
    </w:p>
    <w:p>
      <w:pPr>
        <w:pStyle w:val="4"/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</w:p>
    <w:p>
      <w:pPr>
        <w:pStyle w:val="4"/>
        <w:adjustRightInd w:val="0"/>
        <w:snapToGrid w:val="0"/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根据本人申请、组织培养，经各党支部研究、党总支审核，拟发展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童安楠</w:t>
      </w:r>
      <w:r>
        <w:rPr>
          <w:rFonts w:hint="eastAsia" w:ascii="宋体" w:hAnsi="宋体" w:cs="宋体"/>
          <w:sz w:val="28"/>
          <w:szCs w:val="28"/>
        </w:rPr>
        <w:t>等同志（见附表）为中共预备党员。为广泛征求党内外群众意见，决定自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</w:rPr>
        <w:t>日起予以公示。如对公示对象有不同意见，请于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sz w:val="28"/>
          <w:szCs w:val="28"/>
        </w:rPr>
        <w:t>日前，以口头或书面形式向支部或党总支反映。</w:t>
      </w:r>
    </w:p>
    <w:p>
      <w:pPr>
        <w:pStyle w:val="4"/>
        <w:adjustRightInd w:val="0"/>
        <w:snapToGrid w:val="0"/>
        <w:spacing w:line="52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党总支联系电话：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17858527865</w:t>
      </w:r>
      <w:bookmarkStart w:id="0" w:name="_GoBack"/>
      <w:bookmarkEnd w:id="0"/>
    </w:p>
    <w:p>
      <w:pPr>
        <w:pStyle w:val="4"/>
        <w:adjustRightInd w:val="0"/>
        <w:snapToGrid w:val="0"/>
        <w:spacing w:line="52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胡奕沁</w:t>
      </w:r>
    </w:p>
    <w:p>
      <w:pPr>
        <w:pStyle w:val="4"/>
        <w:adjustRightInd w:val="0"/>
        <w:snapToGrid w:val="0"/>
        <w:spacing w:line="520" w:lineRule="exact"/>
        <w:ind w:right="280"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中共浙江工商职业技术学院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数字商务</w:t>
      </w:r>
      <w:r>
        <w:rPr>
          <w:rFonts w:hint="eastAsia" w:ascii="宋体" w:hAnsi="宋体" w:cs="宋体"/>
          <w:sz w:val="28"/>
          <w:szCs w:val="28"/>
        </w:rPr>
        <w:t>学院总支部委员会</w:t>
      </w:r>
    </w:p>
    <w:p>
      <w:pPr>
        <w:pStyle w:val="4"/>
        <w:tabs>
          <w:tab w:val="left" w:pos="8786"/>
        </w:tabs>
        <w:adjustRightInd w:val="0"/>
        <w:snapToGrid w:val="0"/>
        <w:spacing w:line="520" w:lineRule="exact"/>
        <w:jc w:val="righ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p>
      <w:pPr>
        <w:ind w:firstLine="1807" w:firstLineChars="500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ind w:firstLine="1807" w:firstLineChars="500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ind w:firstLine="1807" w:firstLineChars="500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ind w:firstLine="1807" w:firstLineChars="500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ind w:firstLine="1084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中共浙江工商职业技术学院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数字商务学院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总支部委员会拟接收预备党员汇总表</w:t>
      </w:r>
    </w:p>
    <w:tbl>
      <w:tblPr>
        <w:tblStyle w:val="5"/>
        <w:tblpPr w:leftFromText="180" w:rightFromText="180" w:vertAnchor="text" w:horzAnchor="page" w:tblpX="1014" w:tblpY="46"/>
        <w:tblOverlap w:val="never"/>
        <w:tblW w:w="15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017"/>
        <w:gridCol w:w="800"/>
        <w:gridCol w:w="466"/>
        <w:gridCol w:w="1067"/>
        <w:gridCol w:w="667"/>
        <w:gridCol w:w="1000"/>
        <w:gridCol w:w="1150"/>
        <w:gridCol w:w="1166"/>
        <w:gridCol w:w="1184"/>
        <w:gridCol w:w="1133"/>
        <w:gridCol w:w="950"/>
        <w:gridCol w:w="817"/>
        <w:gridCol w:w="1483"/>
        <w:gridCol w:w="100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支部名称</w:t>
            </w:r>
          </w:p>
        </w:tc>
        <w:tc>
          <w:tcPr>
            <w:tcW w:w="8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6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6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66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0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15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出生日期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（年月日）</w:t>
            </w:r>
          </w:p>
        </w:tc>
        <w:tc>
          <w:tcPr>
            <w:tcW w:w="116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申请入党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日期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（年月日）</w:t>
            </w:r>
          </w:p>
        </w:tc>
        <w:tc>
          <w:tcPr>
            <w:tcW w:w="118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确定为积极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分子日期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（年月日）</w:t>
            </w:r>
          </w:p>
        </w:tc>
        <w:tc>
          <w:tcPr>
            <w:tcW w:w="113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确立为发展对象时间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（年月日）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政审情况</w:t>
            </w:r>
          </w:p>
        </w:tc>
        <w:tc>
          <w:tcPr>
            <w:tcW w:w="81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集中学习情况</w:t>
            </w:r>
          </w:p>
        </w:tc>
        <w:tc>
          <w:tcPr>
            <w:tcW w:w="148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座谈会情况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支委会审查情况</w:t>
            </w:r>
          </w:p>
        </w:tc>
        <w:tc>
          <w:tcPr>
            <w:tcW w:w="116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党总支审查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电商国商党支部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童安楠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电商212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衢州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.14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.06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2.03.13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电商国商党支部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高情朗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电商2111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浙江武义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Hans"/>
              </w:rPr>
              <w:t>商国商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Hans"/>
              </w:rPr>
              <w:t>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李安琪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国商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2161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浙江宁波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2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电商国商党支部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徐瑾如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国商2162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浙江杭州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2022.10.26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电商国商党支部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刘璐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国商2161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浙江温州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2022.10.26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Hans"/>
              </w:rPr>
              <w:t>商国商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Hans"/>
              </w:rPr>
              <w:t>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曹鑫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国商2161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浙江金华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2022.10.26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国贸报关党支部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赵雪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国贸2121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河南南阳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国贸报关党支部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龙丽丽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跨境2122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甘肃定西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国贸报关支部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徐娇洋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关务2122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浙江永康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国贸报关支部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俞佳雪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关务2111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浙江绍兴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2003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国贸报关支部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李苏芸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国贸2121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浙江金华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国贸报关支部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陈奕瑾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国贸2121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浙江舟山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团学营销党支部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张永康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营销2111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河南永城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团学营销党支部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戴凯迪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营销2124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团学营销党支部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翁斐斐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营销2111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团学营销党支部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李亚欣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国贸2121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团学营销党支部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项欣怡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关务2122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团学营销党支部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吴浪浪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营销2124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云南昭通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团学营销党支部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白炳庆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营销2113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团学营销党支部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伊邦邦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营销2124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浙江宁波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2003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17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政审合格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已完成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入党动机端正，工作认真，处理事情思路清晰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材料齐全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程序规范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同意上报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4ZDk4MDgwNjBiOWUxN2ExNzVjOTc1MWQxMTBlNmUifQ=="/>
  </w:docVars>
  <w:rsids>
    <w:rsidRoot w:val="001A0159"/>
    <w:rsid w:val="000C46FB"/>
    <w:rsid w:val="000C5558"/>
    <w:rsid w:val="000D4877"/>
    <w:rsid w:val="001A0159"/>
    <w:rsid w:val="001A0620"/>
    <w:rsid w:val="001A2478"/>
    <w:rsid w:val="00482B25"/>
    <w:rsid w:val="00683AFF"/>
    <w:rsid w:val="00875DFC"/>
    <w:rsid w:val="008B16AB"/>
    <w:rsid w:val="009A1DBE"/>
    <w:rsid w:val="00CE3A4C"/>
    <w:rsid w:val="00E846E1"/>
    <w:rsid w:val="048563F5"/>
    <w:rsid w:val="07FB0A8B"/>
    <w:rsid w:val="11E95602"/>
    <w:rsid w:val="15566BB5"/>
    <w:rsid w:val="26B76ACE"/>
    <w:rsid w:val="45606BD2"/>
    <w:rsid w:val="59162EC7"/>
    <w:rsid w:val="6166602C"/>
    <w:rsid w:val="64CE6A41"/>
    <w:rsid w:val="689316F5"/>
    <w:rsid w:val="6DD24957"/>
    <w:rsid w:val="6FB13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482</Words>
  <Characters>500</Characters>
  <Lines>21</Lines>
  <Paragraphs>6</Paragraphs>
  <TotalTime>3</TotalTime>
  <ScaleCrop>false</ScaleCrop>
  <LinksUpToDate>false</LinksUpToDate>
  <CharactersWithSpaces>502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2019-12-25T09:38:00Z</cp:lastPrinted>
  <dcterms:modified xsi:type="dcterms:W3CDTF">2023-11-21T01:20:13Z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DD116A22E3334A26B48894B4F1618897</vt:lpwstr>
  </property>
</Properties>
</file>